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40"/>
          <w:lang w:val="en-US" w:eastAsia="zh-CN"/>
        </w:rPr>
      </w:pPr>
      <w:r>
        <w:rPr>
          <w:rFonts w:hint="eastAsia"/>
          <w:sz w:val="32"/>
          <w:szCs w:val="40"/>
          <w:lang w:val="en-US" w:eastAsia="zh-CN"/>
        </w:rPr>
        <w:t>呼和浩特市德源肥业有限公司</w:t>
      </w:r>
    </w:p>
    <w:p>
      <w:pPr>
        <w:jc w:val="center"/>
        <w:rPr>
          <w:rFonts w:hint="eastAsia"/>
          <w:sz w:val="32"/>
          <w:szCs w:val="40"/>
          <w:lang w:val="en-US" w:eastAsia="zh-CN"/>
        </w:rPr>
      </w:pPr>
      <w:r>
        <w:rPr>
          <w:rFonts w:hint="eastAsia"/>
          <w:sz w:val="32"/>
          <w:szCs w:val="40"/>
          <w:lang w:val="en-US" w:eastAsia="zh-CN"/>
        </w:rPr>
        <w:t>环境信息公开栏（2024年1季度）</w:t>
      </w:r>
    </w:p>
    <w:p>
      <w:pPr>
        <w:jc w:val="both"/>
        <w:rPr>
          <w:rFonts w:hint="eastAsia"/>
          <w:sz w:val="28"/>
          <w:szCs w:val="36"/>
          <w:lang w:val="en-US" w:eastAsia="zh-CN"/>
        </w:rPr>
      </w:pPr>
      <w:r>
        <w:rPr>
          <w:rFonts w:hint="eastAsia"/>
          <w:sz w:val="28"/>
          <w:szCs w:val="36"/>
          <w:lang w:val="en-US" w:eastAsia="zh-CN"/>
        </w:rPr>
        <w:t>一、单位基本信息</w:t>
      </w:r>
    </w:p>
    <w:tbl>
      <w:tblPr>
        <w:tblStyle w:val="3"/>
        <w:tblW w:w="10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2"/>
        <w:gridCol w:w="3273"/>
        <w:gridCol w:w="494"/>
        <w:gridCol w:w="1783"/>
        <w:gridCol w:w="2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单位名称</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呼和浩特市德源肥业有限公司</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统一社会代码</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91150122561248743E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单位地址</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内蒙古托克托工业园区</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法定代表人</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曹彦霞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行业类别</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有机肥及微生物肥料制造</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联系电话</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15304780978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生产经营主要内容</w:t>
            </w:r>
          </w:p>
        </w:tc>
        <w:tc>
          <w:tcPr>
            <w:tcW w:w="8536" w:type="dxa"/>
            <w:gridSpan w:val="4"/>
            <w:vAlign w:val="center"/>
          </w:tcPr>
          <w:p>
            <w:pPr>
              <w:jc w:val="center"/>
              <w:rPr>
                <w:rFonts w:hint="default"/>
                <w:sz w:val="24"/>
                <w:szCs w:val="32"/>
                <w:vertAlign w:val="baseline"/>
                <w:lang w:eastAsia="zh-CN"/>
              </w:rPr>
            </w:pPr>
            <w:r>
              <w:rPr>
                <w:rFonts w:hint="default"/>
                <w:sz w:val="24"/>
                <w:szCs w:val="32"/>
                <w:vertAlign w:val="baseline"/>
                <w:lang w:eastAsia="zh-CN"/>
              </w:rPr>
              <w:t>公司目前建有生产线3条，以生产有机肥料为主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875"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主要产品</w:t>
            </w:r>
          </w:p>
        </w:tc>
        <w:tc>
          <w:tcPr>
            <w:tcW w:w="5263"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生产规模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875"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有机肥料</w:t>
            </w:r>
          </w:p>
        </w:tc>
        <w:tc>
          <w:tcPr>
            <w:tcW w:w="5263"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2.3万吨/年</w:t>
            </w:r>
          </w:p>
        </w:tc>
      </w:tr>
    </w:tbl>
    <w:p>
      <w:pPr>
        <w:jc w:val="both"/>
        <w:rPr>
          <w:rFonts w:hint="default"/>
          <w:sz w:val="28"/>
          <w:szCs w:val="36"/>
          <w:lang w:val="en-US" w:eastAsia="zh-CN"/>
        </w:rPr>
      </w:pPr>
      <w:r>
        <w:rPr>
          <w:rFonts w:hint="eastAsia"/>
          <w:sz w:val="28"/>
          <w:szCs w:val="36"/>
          <w:lang w:val="en-US" w:eastAsia="zh-CN"/>
        </w:rPr>
        <w:t>二、主要污染物名称、排放方式、排放浓度等信息</w:t>
      </w:r>
    </w:p>
    <w:tbl>
      <w:tblPr>
        <w:tblStyle w:val="3"/>
        <w:tblW w:w="101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19"/>
        <w:gridCol w:w="1254"/>
        <w:gridCol w:w="149"/>
        <w:gridCol w:w="1032"/>
        <w:gridCol w:w="383"/>
        <w:gridCol w:w="852"/>
        <w:gridCol w:w="764"/>
        <w:gridCol w:w="431"/>
        <w:gridCol w:w="910"/>
        <w:gridCol w:w="226"/>
        <w:gridCol w:w="960"/>
        <w:gridCol w:w="1660"/>
        <w:gridCol w:w="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479" w:hRule="atLeast"/>
        </w:trPr>
        <w:tc>
          <w:tcPr>
            <w:tcW w:w="10057" w:type="dxa"/>
            <w:gridSpan w:val="13"/>
            <w:vAlign w:val="center"/>
          </w:tcPr>
          <w:p>
            <w:pPr>
              <w:jc w:val="center"/>
              <w:rPr>
                <w:rFonts w:hint="default"/>
                <w:vertAlign w:val="baseline"/>
                <w:lang w:val="en-US" w:eastAsia="zh-CN"/>
              </w:rPr>
            </w:pPr>
            <w:r>
              <w:rPr>
                <w:rFonts w:hint="eastAsia"/>
                <w:sz w:val="28"/>
                <w:szCs w:val="36"/>
                <w:vertAlign w:val="baseline"/>
                <w:lang w:val="en-US" w:eastAsia="zh-CN"/>
              </w:rPr>
              <w:t>水污染物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492" w:hRule="atLeast"/>
        </w:trPr>
        <w:tc>
          <w:tcPr>
            <w:tcW w:w="4283" w:type="dxa"/>
            <w:gridSpan w:val="6"/>
            <w:vAlign w:val="center"/>
          </w:tcPr>
          <w:p>
            <w:pPr>
              <w:jc w:val="center"/>
              <w:rPr>
                <w:rFonts w:hint="default"/>
                <w:vertAlign w:val="baseline"/>
                <w:lang w:val="en-US" w:eastAsia="zh-CN"/>
              </w:rPr>
            </w:pPr>
            <w:r>
              <w:rPr>
                <w:rFonts w:hint="eastAsia"/>
                <w:vertAlign w:val="baseline"/>
                <w:lang w:val="en-US" w:eastAsia="zh-CN"/>
              </w:rPr>
              <w:t>排放口数量</w:t>
            </w:r>
          </w:p>
        </w:tc>
        <w:tc>
          <w:tcPr>
            <w:tcW w:w="5774" w:type="dxa"/>
            <w:gridSpan w:val="7"/>
            <w:vAlign w:val="center"/>
          </w:tcPr>
          <w:p>
            <w:pPr>
              <w:jc w:val="center"/>
              <w:rPr>
                <w:rFonts w:hint="default"/>
                <w:vertAlign w:val="baseline"/>
                <w:lang w:val="en-US" w:eastAsia="zh-CN"/>
              </w:rPr>
            </w:pPr>
            <w:r>
              <w:rPr>
                <w:rFonts w:hint="eastAsia"/>
                <w:vertAlign w:val="baseline"/>
                <w:lang w:val="en-US" w:eastAsia="zh-CN"/>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967" w:hRule="atLeast"/>
        </w:trPr>
        <w:tc>
          <w:tcPr>
            <w:tcW w:w="1427" w:type="dxa"/>
            <w:vAlign w:val="center"/>
          </w:tcPr>
          <w:p>
            <w:pPr>
              <w:jc w:val="center"/>
              <w:rPr>
                <w:rFonts w:hint="default"/>
                <w:vertAlign w:val="baseline"/>
                <w:lang w:val="en-US" w:eastAsia="zh-CN"/>
              </w:rPr>
            </w:pPr>
            <w:r>
              <w:rPr>
                <w:rFonts w:hint="eastAsia"/>
                <w:vertAlign w:val="baseline"/>
                <w:lang w:val="en-US" w:eastAsia="zh-CN"/>
              </w:rPr>
              <w:t>排放口编号或名称</w:t>
            </w:r>
          </w:p>
        </w:tc>
        <w:tc>
          <w:tcPr>
            <w:tcW w:w="1428" w:type="dxa"/>
            <w:gridSpan w:val="3"/>
            <w:vAlign w:val="center"/>
          </w:tcPr>
          <w:p>
            <w:pPr>
              <w:jc w:val="center"/>
              <w:rPr>
                <w:rFonts w:hint="default"/>
                <w:vertAlign w:val="baseline"/>
                <w:lang w:val="en-US" w:eastAsia="zh-CN"/>
              </w:rPr>
            </w:pPr>
            <w:r>
              <w:rPr>
                <w:rFonts w:hint="eastAsia"/>
                <w:vertAlign w:val="baseline"/>
                <w:lang w:val="en-US" w:eastAsia="zh-CN"/>
              </w:rPr>
              <w:t>排放口位置</w:t>
            </w:r>
          </w:p>
        </w:tc>
        <w:tc>
          <w:tcPr>
            <w:tcW w:w="1428" w:type="dxa"/>
            <w:gridSpan w:val="2"/>
            <w:vAlign w:val="center"/>
          </w:tcPr>
          <w:p>
            <w:pPr>
              <w:jc w:val="center"/>
              <w:rPr>
                <w:rFonts w:hint="default"/>
                <w:vertAlign w:val="baseline"/>
                <w:lang w:val="en-US" w:eastAsia="zh-CN"/>
              </w:rPr>
            </w:pPr>
            <w:r>
              <w:rPr>
                <w:rFonts w:hint="eastAsia"/>
                <w:vertAlign w:val="baseline"/>
                <w:lang w:val="en-US" w:eastAsia="zh-CN"/>
              </w:rPr>
              <w:t>排放方式</w:t>
            </w: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主要/污染物名称</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排放浓度（mg/L）</w:t>
            </w:r>
          </w:p>
        </w:tc>
        <w:tc>
          <w:tcPr>
            <w:tcW w:w="1196" w:type="dxa"/>
            <w:gridSpan w:val="2"/>
            <w:vAlign w:val="center"/>
          </w:tcPr>
          <w:p>
            <w:pPr>
              <w:jc w:val="center"/>
              <w:rPr>
                <w:rFonts w:hint="default"/>
                <w:vertAlign w:val="baseline"/>
                <w:lang w:val="en-US" w:eastAsia="zh-CN"/>
              </w:rPr>
            </w:pPr>
            <w:r>
              <w:rPr>
                <w:rFonts w:hint="eastAsia"/>
                <w:vertAlign w:val="baseline"/>
                <w:lang w:val="en-US" w:eastAsia="zh-CN"/>
              </w:rPr>
              <w:t>监测方式</w:t>
            </w:r>
          </w:p>
        </w:tc>
        <w:tc>
          <w:tcPr>
            <w:tcW w:w="1667" w:type="dxa"/>
            <w:vAlign w:val="center"/>
          </w:tcPr>
          <w:p>
            <w:pPr>
              <w:jc w:val="center"/>
              <w:rPr>
                <w:rFonts w:hint="default"/>
                <w:vertAlign w:val="baseline"/>
                <w:lang w:val="en-US" w:eastAsia="zh-CN"/>
              </w:rPr>
            </w:pPr>
            <w:r>
              <w:rPr>
                <w:rFonts w:hint="eastAsia"/>
                <w:vertAlign w:val="baseline"/>
                <w:lang w:val="en-US" w:eastAsia="zh-CN"/>
              </w:rPr>
              <w:t>执行的污染物排放标准及浓度限值（mg/L）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42" w:hRule="atLeast"/>
        </w:trPr>
        <w:tc>
          <w:tcPr>
            <w:tcW w:w="1427" w:type="dxa"/>
            <w:vMerge w:val="restart"/>
            <w:vAlign w:val="center"/>
          </w:tcPr>
          <w:p>
            <w:pPr>
              <w:jc w:val="center"/>
              <w:rPr>
                <w:rFonts w:hint="default"/>
                <w:vertAlign w:val="baseline"/>
                <w:lang w:val="en-US" w:eastAsia="zh-CN"/>
              </w:rPr>
            </w:pPr>
            <w:r>
              <w:rPr>
                <w:rFonts w:hint="eastAsia"/>
                <w:vertAlign w:val="baseline"/>
                <w:lang w:val="en-US" w:eastAsia="zh-CN"/>
              </w:rPr>
              <w:t>废水总排口</w:t>
            </w:r>
          </w:p>
        </w:tc>
        <w:tc>
          <w:tcPr>
            <w:tcW w:w="1428" w:type="dxa"/>
            <w:gridSpan w:val="3"/>
            <w:vMerge w:val="restart"/>
            <w:vAlign w:val="center"/>
          </w:tcPr>
          <w:p>
            <w:pPr>
              <w:jc w:val="center"/>
              <w:rPr>
                <w:rFonts w:hint="default"/>
                <w:vertAlign w:val="baseline"/>
                <w:lang w:val="en-US" w:eastAsia="zh-CN"/>
              </w:rPr>
            </w:pPr>
            <w:r>
              <w:rPr>
                <w:rFonts w:hint="eastAsia"/>
                <w:vertAlign w:val="baseline"/>
                <w:lang w:val="en-US" w:eastAsia="zh-CN"/>
              </w:rPr>
              <w:t>111°19分9.91秒</w:t>
            </w:r>
          </w:p>
        </w:tc>
        <w:tc>
          <w:tcPr>
            <w:tcW w:w="1428" w:type="dxa"/>
            <w:gridSpan w:val="2"/>
            <w:vMerge w:val="restart"/>
            <w:vAlign w:val="center"/>
          </w:tcPr>
          <w:p>
            <w:pPr>
              <w:jc w:val="center"/>
              <w:rPr>
                <w:rFonts w:hint="default"/>
                <w:vertAlign w:val="baseline"/>
                <w:lang w:val="en-US" w:eastAsia="zh-CN"/>
              </w:rPr>
            </w:pPr>
            <w:r>
              <w:rPr>
                <w:rFonts w:hint="eastAsia"/>
                <w:vertAlign w:val="baseline"/>
                <w:lang w:val="en-US" w:eastAsia="zh-CN"/>
              </w:rPr>
              <w:t>间接排放</w:t>
            </w: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COD</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5000</w:t>
            </w:r>
          </w:p>
        </w:tc>
        <w:tc>
          <w:tcPr>
            <w:tcW w:w="1196"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1667" w:type="dxa"/>
            <w:vMerge w:val="restart"/>
            <w:vAlign w:val="center"/>
          </w:tcPr>
          <w:p>
            <w:pPr>
              <w:jc w:val="center"/>
              <w:rPr>
                <w:rFonts w:hint="default"/>
                <w:vertAlign w:val="baseline"/>
                <w:lang w:val="en-US" w:eastAsia="zh-CN"/>
              </w:rPr>
            </w:pPr>
            <w:r>
              <w:rPr>
                <w:rFonts w:hint="eastAsia"/>
                <w:vertAlign w:val="baseline"/>
                <w:lang w:val="en-US" w:eastAsia="zh-CN"/>
              </w:rPr>
              <w:t>污水中和排放标准GB 8978-1996    协议浓度值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氨氮</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150</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PH值</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5.5-9.5</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悬浮物</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997" w:hRule="atLeast"/>
        </w:trPr>
        <w:tc>
          <w:tcPr>
            <w:tcW w:w="10057" w:type="dxa"/>
            <w:gridSpan w:val="13"/>
            <w:vAlign w:val="center"/>
          </w:tcPr>
          <w:p>
            <w:pPr>
              <w:jc w:val="left"/>
              <w:rPr>
                <w:rFonts w:hint="eastAsia"/>
                <w:vertAlign w:val="baseline"/>
                <w:lang w:val="en-US" w:eastAsia="zh-CN"/>
              </w:rPr>
            </w:pPr>
            <w:r>
              <w:rPr>
                <w:rFonts w:hint="eastAsia"/>
                <w:vertAlign w:val="baseline"/>
                <w:lang w:val="en-US" w:eastAsia="zh-CN"/>
              </w:rPr>
              <w:t>是否有存在超过标准排放污染物等环境违法行为记录，如有请说明：</w:t>
            </w:r>
          </w:p>
          <w:p>
            <w:pPr>
              <w:ind w:firstLine="420" w:firstLineChars="200"/>
              <w:jc w:val="left"/>
              <w:rPr>
                <w:rFonts w:hint="default"/>
                <w:vertAlign w:val="baseline"/>
                <w:lang w:val="en-US" w:eastAsia="zh-CN"/>
              </w:rPr>
            </w:pPr>
            <w:r>
              <w:rPr>
                <w:rFonts w:hint="eastAsia"/>
                <w:vertAlign w:val="baseline"/>
                <w:lang w:val="en-US" w:eastAsia="zh-CN"/>
              </w:rPr>
              <w:t>不存在超标排放污染物的环境违法行为。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139" w:type="dxa"/>
            <w:gridSpan w:val="14"/>
            <w:vAlign w:val="center"/>
          </w:tcPr>
          <w:p>
            <w:pPr>
              <w:jc w:val="center"/>
              <w:rPr>
                <w:rFonts w:hint="default"/>
                <w:sz w:val="28"/>
                <w:szCs w:val="36"/>
                <w:vertAlign w:val="baseline"/>
                <w:lang w:val="en-US" w:eastAsia="zh-CN"/>
              </w:rPr>
            </w:pPr>
            <w:r>
              <w:rPr>
                <w:rFonts w:hint="eastAsia"/>
                <w:sz w:val="28"/>
                <w:szCs w:val="36"/>
                <w:vertAlign w:val="baseline"/>
                <w:lang w:val="en-US" w:eastAsia="zh-CN"/>
              </w:rPr>
              <w:t>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896" w:type="dxa"/>
            <w:gridSpan w:val="5"/>
            <w:vAlign w:val="center"/>
          </w:tcPr>
          <w:p>
            <w:pPr>
              <w:jc w:val="center"/>
              <w:rPr>
                <w:rFonts w:hint="default"/>
                <w:vertAlign w:val="baseline"/>
                <w:lang w:val="en-US" w:eastAsia="zh-CN"/>
              </w:rPr>
            </w:pPr>
            <w:r>
              <w:rPr>
                <w:rFonts w:hint="eastAsia"/>
                <w:vertAlign w:val="baseline"/>
                <w:lang w:val="en-US" w:eastAsia="zh-CN"/>
              </w:rPr>
              <w:t>排放口数量</w:t>
            </w:r>
          </w:p>
        </w:tc>
        <w:tc>
          <w:tcPr>
            <w:tcW w:w="6243" w:type="dxa"/>
            <w:gridSpan w:val="9"/>
            <w:vAlign w:val="center"/>
          </w:tcPr>
          <w:p>
            <w:pPr>
              <w:jc w:val="center"/>
              <w:rPr>
                <w:rFonts w:hint="default"/>
                <w:vertAlign w:val="baseline"/>
                <w:lang w:val="en-US" w:eastAsia="zh-CN"/>
              </w:rPr>
            </w:pPr>
            <w:r>
              <w:rPr>
                <w:rFonts w:hint="eastAsia"/>
                <w:vertAlign w:val="baseline"/>
                <w:lang w:val="en-US" w:eastAsia="zh-CN"/>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排放口编号或名称</w:t>
            </w:r>
          </w:p>
        </w:tc>
        <w:tc>
          <w:tcPr>
            <w:tcW w:w="1258" w:type="dxa"/>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排放口位置</w:t>
            </w:r>
          </w:p>
        </w:tc>
        <w:tc>
          <w:tcPr>
            <w:tcW w:w="1192"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排放方式</w:t>
            </w:r>
          </w:p>
        </w:tc>
        <w:tc>
          <w:tcPr>
            <w:tcW w:w="1245"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主要/污染物名称</w:t>
            </w:r>
          </w:p>
        </w:tc>
        <w:tc>
          <w:tcPr>
            <w:tcW w:w="1140"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排放浓度（mg/L）</w:t>
            </w:r>
          </w:p>
        </w:tc>
        <w:tc>
          <w:tcPr>
            <w:tcW w:w="1140"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监测方式</w:t>
            </w:r>
          </w:p>
        </w:tc>
        <w:tc>
          <w:tcPr>
            <w:tcW w:w="2718" w:type="dxa"/>
            <w:gridSpan w:val="3"/>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执行的污染物排放标准及浓度限值（mg/L）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Merge w:val="restart"/>
            <w:vAlign w:val="center"/>
          </w:tcPr>
          <w:p>
            <w:pPr>
              <w:jc w:val="center"/>
              <w:rPr>
                <w:rFonts w:hint="default"/>
                <w:vertAlign w:val="baseline"/>
                <w:lang w:val="en-US" w:eastAsia="zh-CN"/>
              </w:rPr>
            </w:pPr>
            <w:r>
              <w:rPr>
                <w:rFonts w:hint="eastAsia"/>
                <w:vertAlign w:val="baseline"/>
                <w:lang w:val="en-US" w:eastAsia="zh-CN"/>
              </w:rPr>
              <w:t>废气排口/DA001</w:t>
            </w:r>
          </w:p>
        </w:tc>
        <w:tc>
          <w:tcPr>
            <w:tcW w:w="1258" w:type="dxa"/>
            <w:vMerge w:val="restart"/>
            <w:vAlign w:val="center"/>
          </w:tcPr>
          <w:p>
            <w:pPr>
              <w:jc w:val="center"/>
              <w:rPr>
                <w:rFonts w:hint="default"/>
                <w:vertAlign w:val="baseline"/>
                <w:lang w:val="en-US" w:eastAsia="zh-CN"/>
              </w:rPr>
            </w:pPr>
            <w:r>
              <w:rPr>
                <w:rFonts w:hint="eastAsia"/>
                <w:vertAlign w:val="baseline"/>
                <w:lang w:val="en-US" w:eastAsia="zh-CN"/>
              </w:rPr>
              <w:t>111°19分13.15秒；40°11分7.76秒</w:t>
            </w:r>
          </w:p>
        </w:tc>
        <w:tc>
          <w:tcPr>
            <w:tcW w:w="1192" w:type="dxa"/>
            <w:gridSpan w:val="2"/>
            <w:vMerge w:val="restart"/>
            <w:vAlign w:val="center"/>
          </w:tcPr>
          <w:p>
            <w:pPr>
              <w:jc w:val="center"/>
              <w:rPr>
                <w:rFonts w:hint="default"/>
                <w:vertAlign w:val="baseline"/>
                <w:lang w:val="en-US" w:eastAsia="zh-CN"/>
              </w:rPr>
            </w:pPr>
            <w:r>
              <w:rPr>
                <w:rFonts w:hint="eastAsia"/>
                <w:vertAlign w:val="baseline"/>
                <w:lang w:val="en-US" w:eastAsia="zh-CN"/>
              </w:rPr>
              <w:t>有组织排放</w:t>
            </w: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颗粒物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3.1</w:t>
            </w:r>
            <w:r>
              <w:rPr>
                <w:rFonts w:hint="default"/>
                <w:vertAlign w:val="baseline"/>
                <w:lang w:val="en-US" w:eastAsia="zh-CN"/>
              </w:rPr>
              <w:t>mg/m3</w:t>
            </w:r>
          </w:p>
        </w:tc>
        <w:tc>
          <w:tcPr>
            <w:tcW w:w="1140"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硫化氢</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1.551kg/h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二氧化硫</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3</w:t>
            </w:r>
            <w:r>
              <w:rPr>
                <w:rFonts w:hint="default"/>
                <w:vertAlign w:val="baseline"/>
                <w:lang w:val="en-US" w:eastAsia="zh-CN"/>
              </w:rPr>
              <w:t>mg/m3</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氮氧化物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13</w:t>
            </w:r>
            <w:r>
              <w:rPr>
                <w:rFonts w:hint="default"/>
                <w:vertAlign w:val="baseline"/>
                <w:lang w:val="en-US" w:eastAsia="zh-CN"/>
              </w:rPr>
              <w:t>mg/m3</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氮气</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23.328kg/h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restart"/>
            <w:vAlign w:val="center"/>
          </w:tcPr>
          <w:p>
            <w:pPr>
              <w:jc w:val="center"/>
              <w:rPr>
                <w:rFonts w:hint="default"/>
                <w:vertAlign w:val="baseline"/>
                <w:lang w:val="en-US" w:eastAsia="zh-CN"/>
              </w:rPr>
            </w:pPr>
            <w:r>
              <w:rPr>
                <w:rFonts w:hint="eastAsia"/>
                <w:vertAlign w:val="baseline"/>
                <w:lang w:val="en-US" w:eastAsia="zh-CN"/>
              </w:rPr>
              <w:t>废气排口/DA002</w:t>
            </w:r>
          </w:p>
        </w:tc>
        <w:tc>
          <w:tcPr>
            <w:tcW w:w="1258" w:type="dxa"/>
            <w:vMerge w:val="restart"/>
            <w:vAlign w:val="center"/>
          </w:tcPr>
          <w:p>
            <w:pPr>
              <w:jc w:val="center"/>
              <w:rPr>
                <w:rFonts w:hint="default"/>
                <w:vertAlign w:val="baseline"/>
                <w:lang w:val="en-US" w:eastAsia="zh-CN"/>
              </w:rPr>
            </w:pPr>
            <w:r>
              <w:rPr>
                <w:rFonts w:hint="eastAsia"/>
                <w:vertAlign w:val="baseline"/>
                <w:lang w:val="en-US" w:eastAsia="zh-CN"/>
              </w:rPr>
              <w:t>111°19分14.16秒；40°11分10.00秒</w:t>
            </w:r>
          </w:p>
        </w:tc>
        <w:tc>
          <w:tcPr>
            <w:tcW w:w="1192" w:type="dxa"/>
            <w:gridSpan w:val="2"/>
            <w:vMerge w:val="restart"/>
            <w:vAlign w:val="center"/>
          </w:tcPr>
          <w:p>
            <w:pPr>
              <w:jc w:val="center"/>
              <w:rPr>
                <w:rFonts w:hint="default"/>
                <w:vertAlign w:val="baseline"/>
                <w:lang w:val="en-US" w:eastAsia="zh-CN"/>
              </w:rPr>
            </w:pPr>
            <w:r>
              <w:rPr>
                <w:rFonts w:hint="eastAsia"/>
                <w:vertAlign w:val="baseline"/>
                <w:lang w:val="en-US" w:eastAsia="zh-CN"/>
              </w:rPr>
              <w:t>有组织排放</w:t>
            </w: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颗粒物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3.4</w:t>
            </w:r>
            <w:r>
              <w:rPr>
                <w:rFonts w:hint="default"/>
                <w:vertAlign w:val="baseline"/>
                <w:lang w:val="en-US" w:eastAsia="zh-CN"/>
              </w:rPr>
              <w:t>mg/m3</w:t>
            </w:r>
          </w:p>
        </w:tc>
        <w:tc>
          <w:tcPr>
            <w:tcW w:w="1140"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vAlign w:val="center"/>
          </w:tcPr>
          <w:p>
            <w:pPr>
              <w:jc w:val="cente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硫化氢</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0.002kg/h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vAlign w:val="center"/>
          </w:tcPr>
          <w:p>
            <w:pPr>
              <w:jc w:val="cente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氨气</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1.42kg/h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0139" w:type="dxa"/>
            <w:gridSpan w:val="14"/>
            <w:vAlign w:val="center"/>
          </w:tcPr>
          <w:p>
            <w:pPr>
              <w:jc w:val="left"/>
              <w:rPr>
                <w:rFonts w:hint="eastAsia"/>
                <w:vertAlign w:val="baseline"/>
                <w:lang w:val="en-US" w:eastAsia="zh-CN"/>
              </w:rPr>
            </w:pPr>
            <w:r>
              <w:rPr>
                <w:rFonts w:hint="eastAsia"/>
                <w:vertAlign w:val="baseline"/>
                <w:lang w:val="en-US" w:eastAsia="zh-CN"/>
              </w:rPr>
              <w:t>是否有存在超过标准排放污染物等环境违法行为记录，如有请说明：</w:t>
            </w:r>
          </w:p>
          <w:p>
            <w:pPr>
              <w:ind w:firstLine="420" w:firstLineChars="200"/>
              <w:jc w:val="both"/>
              <w:rPr>
                <w:rFonts w:hint="default"/>
                <w:vertAlign w:val="baseline"/>
                <w:lang w:val="en-US" w:eastAsia="zh-CN"/>
              </w:rPr>
            </w:pPr>
            <w:r>
              <w:rPr>
                <w:rFonts w:hint="eastAsia"/>
                <w:vertAlign w:val="baseline"/>
                <w:lang w:val="en-US" w:eastAsia="zh-CN"/>
              </w:rPr>
              <w:t>不存在超标排放污染物的环境违法行为。</w:t>
            </w:r>
          </w:p>
        </w:tc>
      </w:tr>
    </w:tbl>
    <w:p>
      <w:pPr>
        <w:numPr>
          <w:ilvl w:val="0"/>
          <w:numId w:val="1"/>
        </w:numPr>
        <w:jc w:val="both"/>
        <w:rPr>
          <w:rFonts w:hint="eastAsia"/>
          <w:sz w:val="28"/>
          <w:szCs w:val="36"/>
          <w:lang w:val="en-US" w:eastAsia="zh-CN"/>
        </w:rPr>
      </w:pPr>
      <w:r>
        <w:rPr>
          <w:rFonts w:hint="eastAsia"/>
          <w:sz w:val="28"/>
          <w:szCs w:val="36"/>
          <w:lang w:val="en-US" w:eastAsia="zh-CN"/>
        </w:rPr>
        <w:t>生产、建设过程中产生废物的处置和综合利用等情况信息</w:t>
      </w:r>
    </w:p>
    <w:tbl>
      <w:tblPr>
        <w:tblStyle w:val="3"/>
        <w:tblW w:w="10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6"/>
        <w:gridCol w:w="1829"/>
        <w:gridCol w:w="1710"/>
        <w:gridCol w:w="1875"/>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废物属性或名称</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废物代码</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处理处置方式</w:t>
            </w:r>
          </w:p>
        </w:tc>
        <w:tc>
          <w:tcPr>
            <w:tcW w:w="187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处理处置数量</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废矿物油</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900-214-08</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asciiTheme="minorHAnsi" w:hAnsiTheme="minorHAnsi" w:eastAsiaTheme="minorEastAsia" w:cstheme="minorBidi"/>
                <w:kern w:val="2"/>
                <w:sz w:val="24"/>
                <w:szCs w:val="32"/>
                <w:vertAlign w:val="baseline"/>
                <w:lang w:val="en-US" w:eastAsia="zh-CN" w:bidi="ar-SA"/>
              </w:rPr>
            </w:pPr>
            <w:r>
              <w:rPr>
                <w:rFonts w:hint="eastAsia"/>
                <w:sz w:val="24"/>
                <w:szCs w:val="32"/>
                <w:vertAlign w:val="baseline"/>
                <w:lang w:val="en-US" w:eastAsia="zh-CN"/>
              </w:rPr>
              <w:t>0.038T(暂存）</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呼和浩特市中润金泰矿物油收集有限公司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化验室废液</w:t>
            </w:r>
          </w:p>
        </w:tc>
        <w:tc>
          <w:tcPr>
            <w:tcW w:w="1829"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900-047-49</w:t>
            </w:r>
          </w:p>
        </w:tc>
        <w:tc>
          <w:tcPr>
            <w:tcW w:w="1710"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asciiTheme="minorHAnsi" w:hAnsiTheme="minorHAnsi" w:eastAsiaTheme="minorEastAsia" w:cstheme="minorBidi"/>
                <w:kern w:val="2"/>
                <w:sz w:val="24"/>
                <w:szCs w:val="32"/>
                <w:vertAlign w:val="baseline"/>
                <w:lang w:val="en-US" w:eastAsia="zh-CN" w:bidi="ar-SA"/>
              </w:rPr>
            </w:pPr>
            <w:r>
              <w:rPr>
                <w:rFonts w:hint="eastAsia"/>
                <w:sz w:val="24"/>
                <w:szCs w:val="32"/>
                <w:vertAlign w:val="baseline"/>
                <w:lang w:val="en-US" w:eastAsia="zh-CN"/>
              </w:rPr>
              <w:t>0.10748T(暂存）</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通辽市轩鼎鸿泰环保科技有限公司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炉渣</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SW03</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103.4T(暂存）</w:t>
            </w:r>
          </w:p>
        </w:tc>
        <w:tc>
          <w:tcPr>
            <w:tcW w:w="2717" w:type="dxa"/>
            <w:vAlign w:val="center"/>
          </w:tcPr>
          <w:p>
            <w:pPr>
              <w:jc w:val="center"/>
              <w:rPr>
                <w:rFonts w:hint="default"/>
                <w:sz w:val="24"/>
                <w:szCs w:val="32"/>
                <w:vertAlign w:val="baseline"/>
                <w:lang w:eastAsia="zh-CN"/>
              </w:rPr>
            </w:pPr>
            <w:r>
              <w:rPr>
                <w:rFonts w:hint="default"/>
                <w:sz w:val="24"/>
                <w:szCs w:val="32"/>
                <w:vertAlign w:val="baseline"/>
                <w:lang w:eastAsia="zh-CN"/>
              </w:rPr>
              <w:t>托克托县金河环保固废处置有限公司</w:t>
            </w:r>
          </w:p>
        </w:tc>
      </w:tr>
    </w:tbl>
    <w:p>
      <w:pPr>
        <w:widowControl w:val="0"/>
        <w:numPr>
          <w:ilvl w:val="0"/>
          <w:numId w:val="1"/>
        </w:numPr>
        <w:ind w:left="0" w:leftChars="0" w:firstLine="0" w:firstLineChars="0"/>
        <w:jc w:val="both"/>
        <w:rPr>
          <w:rFonts w:hint="default"/>
          <w:sz w:val="28"/>
          <w:szCs w:val="36"/>
          <w:lang w:val="en-US" w:eastAsia="zh-CN"/>
        </w:rPr>
      </w:pPr>
      <w:r>
        <w:rPr>
          <w:rFonts w:hint="eastAsia"/>
          <w:sz w:val="28"/>
          <w:szCs w:val="36"/>
          <w:lang w:val="en-US" w:eastAsia="zh-CN"/>
        </w:rPr>
        <w:t>环境保护设施的建设和运行情况</w:t>
      </w:r>
    </w:p>
    <w:tbl>
      <w:tblPr>
        <w:tblStyle w:val="3"/>
        <w:tblW w:w="10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2535"/>
        <w:gridCol w:w="1935"/>
        <w:gridCol w:w="2130"/>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5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设施类别</w:t>
            </w: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防治污染设施名称</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投运时间</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处理能力</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restart"/>
            <w:vAlign w:val="center"/>
          </w:tcPr>
          <w:p>
            <w:pPr>
              <w:jc w:val="center"/>
              <w:rPr>
                <w:rFonts w:hint="default"/>
                <w:sz w:val="24"/>
                <w:szCs w:val="32"/>
                <w:vertAlign w:val="baseline"/>
                <w:lang w:val="en-US" w:eastAsia="zh-CN"/>
              </w:rPr>
            </w:pPr>
            <w:r>
              <w:rPr>
                <w:rFonts w:hint="eastAsia"/>
                <w:sz w:val="24"/>
                <w:szCs w:val="32"/>
                <w:vertAlign w:val="baseline"/>
                <w:lang w:val="en-US" w:eastAsia="zh-CN"/>
              </w:rPr>
              <w:t>大气污染物</w:t>
            </w: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旋风除尘器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80%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两级喷淋塔</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2019年10月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75%</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两级湿式电除尘</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列管冷凝器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45%</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丝网除雾器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低温等离子</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30%</w:t>
            </w:r>
          </w:p>
        </w:tc>
        <w:tc>
          <w:tcPr>
            <w:tcW w:w="1847" w:type="dxa"/>
            <w:vAlign w:val="center"/>
          </w:tcPr>
          <w:p>
            <w:pPr>
              <w:jc w:val="center"/>
              <w:rPr>
                <w:rFonts w:hint="default"/>
                <w:sz w:val="24"/>
                <w:szCs w:val="32"/>
                <w:vertAlign w:val="baseline"/>
                <w:lang w:val="en-US" w:eastAsia="zh-CN"/>
              </w:rPr>
            </w:pPr>
            <w:bookmarkStart w:id="0" w:name="_GoBack"/>
            <w:bookmarkEnd w:id="0"/>
            <w:r>
              <w:rPr>
                <w:rFonts w:hint="eastAsia"/>
                <w:sz w:val="24"/>
                <w:szCs w:val="32"/>
                <w:vertAlign w:val="baseline"/>
                <w:lang w:val="en-US" w:eastAsia="zh-CN"/>
              </w:rPr>
              <w:t>已停用</w:t>
            </w:r>
          </w:p>
        </w:tc>
      </w:tr>
    </w:tbl>
    <w:p>
      <w:pPr>
        <w:widowControl w:val="0"/>
        <w:numPr>
          <w:ilvl w:val="0"/>
          <w:numId w:val="0"/>
        </w:numPr>
        <w:jc w:val="both"/>
        <w:rPr>
          <w:rFonts w:hint="default"/>
          <w:sz w:val="28"/>
          <w:szCs w:val="36"/>
          <w:lang w:val="en-US" w:eastAsia="zh-CN"/>
        </w:rPr>
      </w:pPr>
      <w:r>
        <w:rPr>
          <w:rFonts w:hint="eastAsia"/>
          <w:sz w:val="28"/>
          <w:szCs w:val="36"/>
          <w:lang w:val="en-US" w:eastAsia="zh-CN"/>
        </w:rPr>
        <w:t>五、建设项目环境影响评价及其他环境保护行政许可情况</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1500"/>
        <w:gridCol w:w="1215"/>
        <w:gridCol w:w="1590"/>
        <w:gridCol w:w="1245"/>
        <w:gridCol w:w="1140"/>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7"/>
            <w:vAlign w:val="center"/>
          </w:tcPr>
          <w:p>
            <w:pPr>
              <w:jc w:val="center"/>
              <w:rPr>
                <w:rFonts w:hint="default"/>
                <w:sz w:val="24"/>
                <w:szCs w:val="32"/>
                <w:vertAlign w:val="baseline"/>
                <w:lang w:val="en-US" w:eastAsia="zh-CN"/>
              </w:rPr>
            </w:pPr>
            <w:r>
              <w:rPr>
                <w:rFonts w:hint="eastAsia"/>
                <w:sz w:val="24"/>
                <w:szCs w:val="32"/>
                <w:vertAlign w:val="baseline"/>
                <w:lang w:val="en-US" w:eastAsia="zh-CN"/>
              </w:rPr>
              <w:t>建设项目环境影响评价及其他环境保护行政许可情况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建设项目名称</w:t>
            </w:r>
          </w:p>
        </w:tc>
        <w:tc>
          <w:tcPr>
            <w:tcW w:w="150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环评批复单位</w:t>
            </w:r>
          </w:p>
        </w:tc>
        <w:tc>
          <w:tcPr>
            <w:tcW w:w="12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环评批复时间</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环评批复文号</w:t>
            </w:r>
          </w:p>
        </w:tc>
        <w:tc>
          <w:tcPr>
            <w:tcW w:w="124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竣工验收单位</w:t>
            </w:r>
          </w:p>
        </w:tc>
        <w:tc>
          <w:tcPr>
            <w:tcW w:w="114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竣工验收时间</w:t>
            </w:r>
          </w:p>
        </w:tc>
        <w:tc>
          <w:tcPr>
            <w:tcW w:w="119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965" w:type="dxa"/>
            <w:vMerge w:val="restart"/>
            <w:vAlign w:val="center"/>
          </w:tcPr>
          <w:p>
            <w:pPr>
              <w:jc w:val="center"/>
              <w:rPr>
                <w:rFonts w:hint="default"/>
                <w:sz w:val="22"/>
                <w:szCs w:val="28"/>
                <w:vertAlign w:val="baseline"/>
                <w:lang w:val="en-US" w:eastAsia="zh-CN"/>
              </w:rPr>
            </w:pPr>
            <w:r>
              <w:rPr>
                <w:rFonts w:hint="eastAsia"/>
                <w:sz w:val="22"/>
                <w:szCs w:val="28"/>
                <w:vertAlign w:val="baseline"/>
                <w:lang w:val="en-US" w:eastAsia="zh-CN"/>
              </w:rPr>
              <w:t>清洁生产5万吨/年有机肥料循环经济项目</w:t>
            </w:r>
          </w:p>
        </w:tc>
        <w:tc>
          <w:tcPr>
            <w:tcW w:w="150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2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2016.7.7</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托环建批字【2016】25号</w:t>
            </w:r>
          </w:p>
        </w:tc>
        <w:tc>
          <w:tcPr>
            <w:tcW w:w="124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14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2018.2.11</w:t>
            </w:r>
          </w:p>
        </w:tc>
        <w:tc>
          <w:tcPr>
            <w:tcW w:w="119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托环建验字【2018】2号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965" w:type="dxa"/>
            <w:vMerge w:val="continue"/>
            <w:vAlign w:val="center"/>
          </w:tcPr>
          <w:p>
            <w:pPr>
              <w:jc w:val="center"/>
              <w:rPr>
                <w:rFonts w:hint="eastAsia"/>
                <w:sz w:val="22"/>
                <w:szCs w:val="28"/>
                <w:vertAlign w:val="baseline"/>
                <w:lang w:val="en-US" w:eastAsia="zh-CN"/>
              </w:rPr>
            </w:pPr>
          </w:p>
        </w:tc>
        <w:tc>
          <w:tcPr>
            <w:tcW w:w="1500" w:type="dxa"/>
            <w:vAlign w:val="center"/>
          </w:tcPr>
          <w:p>
            <w:pPr>
              <w:jc w:val="both"/>
              <w:rPr>
                <w:rFonts w:hint="default"/>
                <w:sz w:val="22"/>
                <w:szCs w:val="28"/>
                <w:vertAlign w:val="baseline"/>
                <w:lang w:val="en-US" w:eastAsia="zh-CN"/>
              </w:rPr>
            </w:pPr>
          </w:p>
        </w:tc>
        <w:tc>
          <w:tcPr>
            <w:tcW w:w="1215" w:type="dxa"/>
            <w:vAlign w:val="center"/>
          </w:tcPr>
          <w:p>
            <w:pPr>
              <w:jc w:val="center"/>
              <w:rPr>
                <w:rFonts w:hint="eastAsia"/>
                <w:sz w:val="22"/>
                <w:szCs w:val="28"/>
                <w:vertAlign w:val="baseline"/>
                <w:lang w:val="en-US" w:eastAsia="zh-CN"/>
              </w:rPr>
            </w:pPr>
          </w:p>
        </w:tc>
        <w:tc>
          <w:tcPr>
            <w:tcW w:w="1590" w:type="dxa"/>
            <w:vAlign w:val="center"/>
          </w:tcPr>
          <w:p>
            <w:pPr>
              <w:jc w:val="center"/>
              <w:rPr>
                <w:rFonts w:hint="default"/>
                <w:sz w:val="22"/>
                <w:szCs w:val="28"/>
                <w:vertAlign w:val="baseline"/>
                <w:lang w:val="en-US" w:eastAsia="zh-CN"/>
              </w:rPr>
            </w:pPr>
          </w:p>
        </w:tc>
        <w:tc>
          <w:tcPr>
            <w:tcW w:w="1245" w:type="dxa"/>
            <w:vAlign w:val="center"/>
          </w:tcPr>
          <w:p>
            <w:pPr>
              <w:jc w:val="center"/>
              <w:rPr>
                <w:rFonts w:hint="eastAsia"/>
                <w:sz w:val="22"/>
                <w:szCs w:val="28"/>
                <w:vertAlign w:val="baseline"/>
                <w:lang w:val="en-US" w:eastAsia="zh-CN"/>
              </w:rPr>
            </w:pPr>
          </w:p>
        </w:tc>
        <w:tc>
          <w:tcPr>
            <w:tcW w:w="1140" w:type="dxa"/>
            <w:vAlign w:val="center"/>
          </w:tcPr>
          <w:p>
            <w:pPr>
              <w:jc w:val="center"/>
              <w:rPr>
                <w:rFonts w:hint="default"/>
                <w:sz w:val="22"/>
                <w:szCs w:val="28"/>
                <w:vertAlign w:val="baseline"/>
                <w:lang w:val="en-US" w:eastAsia="zh-CN"/>
              </w:rPr>
            </w:pPr>
          </w:p>
        </w:tc>
        <w:tc>
          <w:tcPr>
            <w:tcW w:w="1195" w:type="dxa"/>
            <w:vAlign w:val="center"/>
          </w:tcPr>
          <w:p>
            <w:pPr>
              <w:jc w:val="center"/>
              <w:rPr>
                <w:rFonts w:hint="eastAsia"/>
                <w:sz w:val="22"/>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965" w:type="dxa"/>
            <w:vMerge w:val="continue"/>
            <w:vAlign w:val="center"/>
          </w:tcPr>
          <w:p>
            <w:pPr>
              <w:jc w:val="center"/>
              <w:rPr>
                <w:rFonts w:hint="eastAsia"/>
                <w:sz w:val="22"/>
                <w:szCs w:val="28"/>
                <w:vertAlign w:val="baseline"/>
                <w:lang w:val="en-US" w:eastAsia="zh-CN"/>
              </w:rPr>
            </w:pPr>
          </w:p>
        </w:tc>
        <w:tc>
          <w:tcPr>
            <w:tcW w:w="1500" w:type="dxa"/>
            <w:vAlign w:val="center"/>
          </w:tcPr>
          <w:p>
            <w:pPr>
              <w:jc w:val="center"/>
              <w:rPr>
                <w:rFonts w:hint="default"/>
                <w:sz w:val="22"/>
                <w:szCs w:val="28"/>
                <w:vertAlign w:val="baseline"/>
                <w:lang w:val="en-US" w:eastAsia="zh-CN"/>
              </w:rPr>
            </w:pPr>
          </w:p>
        </w:tc>
        <w:tc>
          <w:tcPr>
            <w:tcW w:w="1215" w:type="dxa"/>
            <w:vAlign w:val="center"/>
          </w:tcPr>
          <w:p>
            <w:pPr>
              <w:jc w:val="center"/>
              <w:rPr>
                <w:rFonts w:hint="eastAsia"/>
                <w:sz w:val="22"/>
                <w:szCs w:val="28"/>
                <w:vertAlign w:val="baseline"/>
                <w:lang w:val="en-US" w:eastAsia="zh-CN"/>
              </w:rPr>
            </w:pPr>
          </w:p>
        </w:tc>
        <w:tc>
          <w:tcPr>
            <w:tcW w:w="1590" w:type="dxa"/>
            <w:vAlign w:val="center"/>
          </w:tcPr>
          <w:p>
            <w:pPr>
              <w:jc w:val="center"/>
              <w:rPr>
                <w:rFonts w:hint="eastAsia"/>
                <w:sz w:val="22"/>
                <w:szCs w:val="28"/>
                <w:vertAlign w:val="baseline"/>
                <w:lang w:val="en-US" w:eastAsia="zh-CN"/>
              </w:rPr>
            </w:pPr>
          </w:p>
        </w:tc>
        <w:tc>
          <w:tcPr>
            <w:tcW w:w="1245" w:type="dxa"/>
            <w:vAlign w:val="center"/>
          </w:tcPr>
          <w:p>
            <w:pPr>
              <w:jc w:val="center"/>
              <w:rPr>
                <w:rFonts w:hint="eastAsia"/>
                <w:sz w:val="22"/>
                <w:szCs w:val="28"/>
                <w:vertAlign w:val="baseline"/>
                <w:lang w:val="en-US" w:eastAsia="zh-CN"/>
              </w:rPr>
            </w:pPr>
          </w:p>
        </w:tc>
        <w:tc>
          <w:tcPr>
            <w:tcW w:w="1140" w:type="dxa"/>
            <w:vAlign w:val="center"/>
          </w:tcPr>
          <w:p>
            <w:pPr>
              <w:jc w:val="center"/>
              <w:rPr>
                <w:rFonts w:hint="default"/>
                <w:sz w:val="22"/>
                <w:szCs w:val="28"/>
                <w:vertAlign w:val="baseline"/>
                <w:lang w:val="en-US" w:eastAsia="zh-CN"/>
              </w:rPr>
            </w:pPr>
          </w:p>
        </w:tc>
        <w:tc>
          <w:tcPr>
            <w:tcW w:w="1195" w:type="dxa"/>
            <w:vAlign w:val="center"/>
          </w:tcPr>
          <w:p>
            <w:pPr>
              <w:jc w:val="center"/>
              <w:rPr>
                <w:rFonts w:hint="eastAsia"/>
                <w:sz w:val="22"/>
                <w:szCs w:val="28"/>
                <w:vertAlign w:val="baseline"/>
                <w:lang w:val="en-US" w:eastAsia="zh-CN"/>
              </w:rPr>
            </w:pPr>
          </w:p>
        </w:tc>
      </w:tr>
    </w:tbl>
    <w:p>
      <w:pPr>
        <w:widowControl w:val="0"/>
        <w:numPr>
          <w:ilvl w:val="0"/>
          <w:numId w:val="0"/>
        </w:numPr>
        <w:ind w:leftChars="0"/>
        <w:jc w:val="both"/>
        <w:rPr>
          <w:rFonts w:hint="eastAsia"/>
          <w:sz w:val="28"/>
          <w:szCs w:val="36"/>
          <w:lang w:val="en-US" w:eastAsia="zh-CN"/>
        </w:rPr>
      </w:pPr>
      <w:r>
        <w:rPr>
          <w:rFonts w:hint="eastAsia"/>
          <w:sz w:val="28"/>
          <w:szCs w:val="36"/>
          <w:lang w:val="en-US" w:eastAsia="zh-CN"/>
        </w:rPr>
        <w:t>六、突发环境事件应急预案</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2715"/>
        <w:gridCol w:w="1590"/>
        <w:gridCol w:w="3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4"/>
            <w:vAlign w:val="center"/>
          </w:tcPr>
          <w:p>
            <w:pPr>
              <w:jc w:val="center"/>
              <w:rPr>
                <w:rFonts w:hint="default"/>
                <w:sz w:val="24"/>
                <w:szCs w:val="32"/>
                <w:vertAlign w:val="baseline"/>
                <w:lang w:val="en-US" w:eastAsia="zh-CN"/>
              </w:rPr>
            </w:pPr>
            <w:r>
              <w:rPr>
                <w:rFonts w:hint="eastAsia"/>
                <w:sz w:val="24"/>
                <w:szCs w:val="32"/>
                <w:vertAlign w:val="baseline"/>
                <w:lang w:val="en-US" w:eastAsia="zh-CN"/>
              </w:rPr>
              <w:t>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备案部门</w:t>
            </w:r>
          </w:p>
        </w:tc>
        <w:tc>
          <w:tcPr>
            <w:tcW w:w="27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备案时间</w:t>
            </w:r>
          </w:p>
        </w:tc>
        <w:tc>
          <w:tcPr>
            <w:tcW w:w="358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2023年10月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主要内容</w:t>
            </w:r>
          </w:p>
        </w:tc>
        <w:tc>
          <w:tcPr>
            <w:tcW w:w="7885" w:type="dxa"/>
            <w:gridSpan w:val="3"/>
            <w:vAlign w:val="center"/>
          </w:tcPr>
          <w:p>
            <w:pPr>
              <w:ind w:firstLine="440" w:firstLineChars="200"/>
              <w:jc w:val="left"/>
              <w:rPr>
                <w:rFonts w:hint="default"/>
                <w:sz w:val="22"/>
                <w:szCs w:val="28"/>
                <w:vertAlign w:val="baseline"/>
                <w:lang w:val="en-US" w:eastAsia="zh-CN"/>
              </w:rPr>
            </w:pPr>
            <w:r>
              <w:rPr>
                <w:rFonts w:hint="eastAsia"/>
                <w:sz w:val="22"/>
                <w:szCs w:val="28"/>
                <w:vertAlign w:val="baseline"/>
                <w:lang w:val="en-US" w:eastAsia="zh-CN"/>
              </w:rPr>
              <w:t>呼和浩特市德源肥业有限公司突发环境污染事故原应急预案于2017年由内蒙古利永贞项目自行管理有限公司编制，并于同年在托克托县环境保护局进行备案，根据内蒙古自治区环境保护厅关于企业单位突发环境事件应急预案备案管理实施办法的精神，建立健全环境污染事故应急机制，提高企业应对环境污染事故能力，防治突发性环境事故的发生，并能在事故发生后，迅速有效地开展人员疏散、清洁净化、环境监测、污染跟踪、信息通报和生态环境影响评估与修复行动，将事故损失和社会危害减少到最低程度，维护社会稳定，保障公众生命健康和财产安全，保护当地环境和下游水资源安全，促进社会全面、协调、可持续发展。企业结合环境应急预案实施情况，至少每三年对面临的环境风险和环境应急预案进行一次回顾性评价，由于企业环境应监测及报告机制、应对流程和措施、应急保障措施发生变化，重要应急资源发生变化，原应急预案中涉及人员的联络方式等信息发生变化，综上所述，呼和浩特市德源肥业有限公司对应急预案重新进行修订，并于2023年10月15日通过了托克托县环保局备案。</w:t>
            </w:r>
          </w:p>
        </w:tc>
      </w:tr>
    </w:tbl>
    <w:p>
      <w:pPr>
        <w:widowControl w:val="0"/>
        <w:numPr>
          <w:ilvl w:val="0"/>
          <w:numId w:val="0"/>
        </w:numPr>
        <w:ind w:leftChars="0"/>
        <w:jc w:val="both"/>
        <w:rPr>
          <w:rFonts w:hint="default"/>
          <w:sz w:val="28"/>
          <w:szCs w:val="36"/>
          <w:lang w:val="en-US" w:eastAsia="zh-CN"/>
        </w:rPr>
      </w:pPr>
      <w:r>
        <w:rPr>
          <w:rFonts w:hint="eastAsia"/>
          <w:sz w:val="28"/>
          <w:szCs w:val="36"/>
          <w:lang w:val="en-US" w:eastAsia="zh-CN"/>
        </w:rPr>
        <w:t>七、环境自行监测方案</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7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环境自行监测方案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主要内容</w:t>
            </w:r>
          </w:p>
        </w:tc>
        <w:tc>
          <w:tcPr>
            <w:tcW w:w="7885" w:type="dxa"/>
            <w:vAlign w:val="center"/>
          </w:tcPr>
          <w:p>
            <w:pPr>
              <w:ind w:firstLine="440" w:firstLineChars="200"/>
              <w:jc w:val="left"/>
              <w:rPr>
                <w:rFonts w:hint="default"/>
                <w:sz w:val="22"/>
                <w:szCs w:val="28"/>
                <w:vertAlign w:val="baseline"/>
                <w:lang w:val="en-US" w:eastAsia="zh-CN"/>
              </w:rPr>
            </w:pPr>
            <w:r>
              <w:rPr>
                <w:rFonts w:hint="eastAsia"/>
                <w:sz w:val="22"/>
                <w:szCs w:val="28"/>
                <w:vertAlign w:val="baseline"/>
                <w:lang w:val="en-US" w:eastAsia="zh-CN"/>
              </w:rPr>
              <w:t>根据自行监测方案要求，定期对废气、废水、噪声进行自行监测。</w:t>
            </w:r>
          </w:p>
        </w:tc>
      </w:tr>
    </w:tbl>
    <w:p>
      <w:pPr>
        <w:widowControl w:val="0"/>
        <w:numPr>
          <w:ilvl w:val="0"/>
          <w:numId w:val="0"/>
        </w:numPr>
        <w:jc w:val="both"/>
        <w:rPr>
          <w:rFonts w:hint="default"/>
          <w:sz w:val="28"/>
          <w:szCs w:val="36"/>
          <w:lang w:val="en-US" w:eastAsia="zh-CN"/>
        </w:rPr>
      </w:pPr>
    </w:p>
    <w:p>
      <w:pPr>
        <w:rPr>
          <w:rFonts w:hint="default"/>
          <w:lang w:val="en-US" w:eastAsia="zh-CN"/>
        </w:rPr>
      </w:pP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CC977"/>
    <w:multiLevelType w:val="singleLevel"/>
    <w:tmpl w:val="A49CC97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YzBkMzc3MTU1ZmQwNDc4NzUzNzQ0NmNhZjllMzgifQ=="/>
  </w:docVars>
  <w:rsids>
    <w:rsidRoot w:val="294165ED"/>
    <w:rsid w:val="12DB5B92"/>
    <w:rsid w:val="152B78F9"/>
    <w:rsid w:val="16BF34C9"/>
    <w:rsid w:val="1F71526E"/>
    <w:rsid w:val="29257BD3"/>
    <w:rsid w:val="294165ED"/>
    <w:rsid w:val="295A437F"/>
    <w:rsid w:val="3A0D6F1D"/>
    <w:rsid w:val="3C53008C"/>
    <w:rsid w:val="70D34D1C"/>
    <w:rsid w:val="71146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1589</Words>
  <Characters>1922</Characters>
  <Lines>0</Lines>
  <Paragraphs>0</Paragraphs>
  <TotalTime>0</TotalTime>
  <ScaleCrop>false</ScaleCrop>
  <LinksUpToDate>false</LinksUpToDate>
  <CharactersWithSpaces>1935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2023-01-07T03:00:00Z</dcterms:created>
  <dc:creator>*WXJ*</dc:creator>
  <cp:lastModifiedBy>贺海波</cp:lastModifiedBy>
  <cp:lastPrinted>2023-04-12T03:19:00Z</cp:lastPrinted>
  <dcterms:modified xsi:type="dcterms:W3CDTF">2024-04-08T02:06:03Z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B51D4E585ED940E2958E1B82163683D1</vt:lpwstr>
  </property>
</Properties>
</file>